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u w:color="000000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u w:color="000000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u w:color="000000"/>
        </w:rPr>
        <w:t>2023年省级制造业高质量发展专项资金（第二批）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u w:color="000000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u w:color="000000"/>
        </w:rPr>
        <w:t>绩效评价报告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Toc69190960"/>
      <w:bookmarkStart w:id="1" w:name="_Toc69190526"/>
      <w:r>
        <w:rPr>
          <w:rFonts w:hint="eastAsia" w:ascii="黑体" w:hAnsi="黑体" w:eastAsia="黑体" w:cs="黑体"/>
          <w:sz w:val="32"/>
          <w:szCs w:val="32"/>
        </w:rPr>
        <w:t>咸安区财政局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/>
        </w:rPr>
      </w:pPr>
      <w:r>
        <w:rPr>
          <w:rFonts w:ascii="仿宋" w:hAnsi="仿宋" w:eastAsia="仿宋" w:cs="Times New Roman"/>
          <w:kern w:val="2"/>
          <w:sz w:val="32"/>
          <w:szCs w:val="32"/>
          <w:u w:color="000000"/>
        </w:rPr>
        <w:t>按照咸安区财政局《关于开展重点项目绩效评价的通知》（咸安财绩函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[</w:t>
      </w:r>
      <w:r>
        <w:rPr>
          <w:rFonts w:ascii="仿宋" w:hAnsi="仿宋" w:eastAsia="仿宋" w:cs="Times New Roman"/>
          <w:kern w:val="2"/>
          <w:sz w:val="32"/>
          <w:szCs w:val="32"/>
          <w:u w:color="000000"/>
        </w:rPr>
        <w:t>202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4]17</w:t>
      </w:r>
      <w:r>
        <w:rPr>
          <w:rFonts w:ascii="仿宋" w:hAnsi="仿宋" w:eastAsia="仿宋" w:cs="Times New Roman"/>
          <w:kern w:val="2"/>
          <w:sz w:val="32"/>
          <w:szCs w:val="32"/>
          <w:u w:color="000000"/>
        </w:rPr>
        <w:t>号），我们</w:t>
      </w:r>
      <w:r>
        <w:rPr>
          <w:rFonts w:hint="eastAsia" w:ascii="仿宋" w:hAnsi="仿宋" w:eastAsia="仿宋"/>
          <w:sz w:val="32"/>
          <w:szCs w:val="32"/>
        </w:rPr>
        <w:t>接受贵局委托，成立了绩效评价项目工作组，于2024年7月22日至2024年8月25日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对咸安区科学技术和经济信息化局（以下简称“咸安区科经局”）实施的“2023年省级制造业高质量发展专项资金”</w:t>
      </w:r>
      <w:r>
        <w:rPr>
          <w:rFonts w:hint="eastAsia" w:ascii="仿宋" w:hAnsi="仿宋" w:eastAsia="仿宋"/>
          <w:sz w:val="32"/>
          <w:szCs w:val="32"/>
        </w:rPr>
        <w:t>开展了绩效评价。</w:t>
      </w:r>
      <w:r>
        <w:rPr>
          <w:rFonts w:ascii="仿宋" w:hAnsi="仿宋" w:eastAsia="仿宋"/>
          <w:sz w:val="32"/>
          <w:szCs w:val="32"/>
        </w:rPr>
        <w:t>项目实施单位的责任是根据有关文件规定，提供与本次绩效考评有关的全部资料，并保证提供资料的真实、合法和完整。我们的责任是依据有关政策规定，对项目实施单位实施的“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2023年省级制造业高质量发展专项资金</w:t>
      </w:r>
      <w:r>
        <w:rPr>
          <w:rFonts w:ascii="仿宋" w:hAnsi="仿宋" w:eastAsia="仿宋"/>
          <w:sz w:val="32"/>
          <w:szCs w:val="32"/>
        </w:rPr>
        <w:t>”进行绩效评价，发表绩效评价意见。绩效评价过程中我们根据实际情况，实施了包括检查项目档案、审查财务资料、发放调查问卷以及现场调研等评价程序。绩效评价工作已结束，现将评价结果报告如下：</w:t>
      </w:r>
      <w:bookmarkStart w:id="2" w:name="_Toc69190527"/>
      <w:bookmarkStart w:id="3" w:name="_Toc68069410"/>
      <w:bookmarkStart w:id="4" w:name="_Toc175123802"/>
      <w:bookmarkStart w:id="5" w:name="_Toc174387399"/>
      <w:bookmarkStart w:id="6" w:name="_Toc25360"/>
    </w:p>
    <w:p>
      <w:pPr>
        <w:pStyle w:val="3"/>
        <w:ind w:firstLine="640"/>
        <w:jc w:val="center"/>
        <w:rPr>
          <w:rFonts w:hint="eastAsia"/>
        </w:rPr>
      </w:pPr>
    </w:p>
    <w:p>
      <w:pPr>
        <w:pStyle w:val="3"/>
        <w:ind w:firstLine="640"/>
        <w:jc w:val="center"/>
      </w:pPr>
      <w:r>
        <w:rPr>
          <w:rFonts w:hint="eastAsia"/>
        </w:rPr>
        <w:t>第一部分 评价结论</w:t>
      </w:r>
      <w:bookmarkEnd w:id="2"/>
      <w:bookmarkEnd w:id="3"/>
      <w:bookmarkEnd w:id="4"/>
      <w:bookmarkEnd w:id="5"/>
      <w:bookmarkEnd w:id="6"/>
      <w:bookmarkStart w:id="7" w:name="_Toc50226849"/>
    </w:p>
    <w:p>
      <w:pPr>
        <w:pStyle w:val="4"/>
        <w:adjustRightInd/>
        <w:snapToGrid/>
        <w:ind w:firstLine="643"/>
        <w:rPr>
          <w:b/>
          <w:bCs w:val="0"/>
        </w:rPr>
      </w:pPr>
      <w:bookmarkStart w:id="8" w:name="_Toc68069411"/>
      <w:bookmarkStart w:id="9" w:name="_Toc175123803"/>
      <w:bookmarkStart w:id="10" w:name="_Toc69190528"/>
      <w:bookmarkStart w:id="11" w:name="_Toc174387400"/>
      <w:bookmarkStart w:id="12" w:name="_Toc3726"/>
      <w:r>
        <w:rPr>
          <w:rFonts w:hint="eastAsia"/>
          <w:b/>
          <w:bCs w:val="0"/>
        </w:rPr>
        <w:t>一、绩效评价分数和等级</w:t>
      </w:r>
      <w:bookmarkEnd w:id="7"/>
      <w:bookmarkEnd w:id="8"/>
      <w:bookmarkEnd w:id="9"/>
      <w:bookmarkEnd w:id="10"/>
      <w:bookmarkEnd w:id="11"/>
      <w:bookmarkEnd w:id="12"/>
    </w:p>
    <w:p>
      <w:pPr>
        <w:spacing w:line="56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本次绩效评价根据收集到的相关资料，经过核实整理分析，按照绩效评价指标体系及计分标准，得出制造业高质量发展项目</w:t>
      </w:r>
    </w:p>
    <w:p>
      <w:pPr>
        <w:spacing w:line="56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绩效评价总分为92.5分，评价等级为优。</w:t>
      </w:r>
    </w:p>
    <w:p>
      <w:pPr>
        <w:pStyle w:val="2"/>
        <w:rPr>
          <w:rFonts w:hint="eastAsia"/>
        </w:rPr>
      </w:pPr>
    </w:p>
    <w:tbl>
      <w:tblPr>
        <w:tblStyle w:val="15"/>
        <w:tblW w:w="7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923"/>
        <w:gridCol w:w="1817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一级指标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评分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决策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过程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19.75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产出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效果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24.75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92.5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优</w:t>
            </w:r>
          </w:p>
        </w:tc>
      </w:tr>
    </w:tbl>
    <w:p>
      <w:pPr>
        <w:pStyle w:val="4"/>
        <w:adjustRightInd/>
        <w:snapToGrid/>
        <w:ind w:firstLine="643"/>
        <w:rPr>
          <w:b/>
          <w:bCs w:val="0"/>
        </w:rPr>
      </w:pPr>
      <w:bookmarkStart w:id="13" w:name="_Toc50226850"/>
      <w:bookmarkStart w:id="14" w:name="_Toc9317"/>
      <w:bookmarkStart w:id="15" w:name="_Toc68069412"/>
      <w:bookmarkStart w:id="16" w:name="_Toc69190529"/>
      <w:bookmarkStart w:id="17" w:name="_Toc174387401"/>
      <w:bookmarkStart w:id="18" w:name="_Toc175123804"/>
      <w:r>
        <w:rPr>
          <w:rFonts w:hint="eastAsia"/>
          <w:b/>
          <w:bCs w:val="0"/>
        </w:rPr>
        <w:t>二、绩效评价指标完成情况</w:t>
      </w:r>
      <w:bookmarkEnd w:id="13"/>
      <w:r>
        <w:rPr>
          <w:rFonts w:hint="eastAsia"/>
          <w:b/>
          <w:bCs w:val="0"/>
        </w:rPr>
        <w:t>分析</w:t>
      </w:r>
      <w:bookmarkEnd w:id="14"/>
      <w:bookmarkEnd w:id="15"/>
      <w:bookmarkEnd w:id="16"/>
      <w:bookmarkEnd w:id="17"/>
      <w:bookmarkEnd w:id="18"/>
      <w:bookmarkStart w:id="19" w:name="_Toc68069413"/>
    </w:p>
    <w:bookmarkEnd w:id="19"/>
    <w:p>
      <w:pPr>
        <w:pStyle w:val="4"/>
        <w:adjustRightInd/>
        <w:snapToGrid/>
        <w:ind w:firstLine="643"/>
        <w:rPr>
          <w:b/>
          <w:bCs w:val="0"/>
        </w:rPr>
      </w:pPr>
      <w:bookmarkStart w:id="20" w:name="_Toc174387402"/>
      <w:bookmarkStart w:id="21" w:name="_Toc175123805"/>
      <w:bookmarkStart w:id="22" w:name="_Toc8990"/>
      <w:bookmarkStart w:id="23" w:name="_Toc50226851"/>
      <w:bookmarkStart w:id="24" w:name="_Toc68069417"/>
      <w:bookmarkStart w:id="25" w:name="_Toc69190542"/>
      <w:r>
        <w:rPr>
          <w:b/>
          <w:bCs w:val="0"/>
        </w:rPr>
        <w:t>（一）</w:t>
      </w:r>
      <w:r>
        <w:rPr>
          <w:rFonts w:hint="eastAsia"/>
          <w:b/>
          <w:bCs w:val="0"/>
        </w:rPr>
        <w:t>决策指标情况</w:t>
      </w:r>
      <w:bookmarkEnd w:id="20"/>
      <w:bookmarkEnd w:id="21"/>
      <w:bookmarkEnd w:id="22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决策指标得分情况：项目决策指标分值为13分，评价得分为13分，未扣分。</w:t>
      </w:r>
    </w:p>
    <w:p>
      <w:pPr>
        <w:pStyle w:val="4"/>
        <w:adjustRightInd/>
        <w:snapToGrid/>
        <w:ind w:firstLine="643"/>
        <w:rPr>
          <w:b/>
          <w:bCs w:val="0"/>
        </w:rPr>
      </w:pPr>
      <w:bookmarkStart w:id="26" w:name="_Toc2726"/>
      <w:bookmarkStart w:id="27" w:name="_Toc175123806"/>
      <w:bookmarkStart w:id="28" w:name="_Toc174387403"/>
      <w:r>
        <w:rPr>
          <w:b/>
          <w:bCs w:val="0"/>
        </w:rPr>
        <w:t>（二）</w:t>
      </w:r>
      <w:r>
        <w:rPr>
          <w:rFonts w:hint="eastAsia"/>
          <w:b/>
          <w:bCs w:val="0"/>
        </w:rPr>
        <w:t>过程指标情况</w:t>
      </w:r>
      <w:bookmarkEnd w:id="26"/>
      <w:bookmarkEnd w:id="27"/>
      <w:bookmarkEnd w:id="28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过程指标得分情况：项目过程指标分值为22分，评价得分为19.75 分，扣2.25分。</w:t>
      </w:r>
    </w:p>
    <w:p>
      <w:pPr>
        <w:pStyle w:val="2"/>
        <w:adjustRightInd/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产出指标扣分原因：档案资料完备性，涉及本指标的共计</w:t>
      </w:r>
      <w:r>
        <w:rPr>
          <w:rFonts w:ascii="仿宋" w:hAnsi="仿宋" w:eastAsia="仿宋" w:cs="仿宋"/>
          <w:b w:val="0"/>
          <w:bCs w:val="0"/>
          <w:sz w:val="32"/>
          <w:szCs w:val="32"/>
          <w:lang w:val="en-US"/>
        </w:rPr>
        <w:t>4个项目，其中有3个项目的项目验收表未及时归档保管。</w:t>
      </w:r>
    </w:p>
    <w:p>
      <w:pPr>
        <w:pStyle w:val="4"/>
        <w:adjustRightInd/>
        <w:snapToGrid/>
        <w:ind w:firstLine="643"/>
        <w:rPr>
          <w:b/>
          <w:bCs w:val="0"/>
        </w:rPr>
      </w:pPr>
      <w:bookmarkStart w:id="29" w:name="_Toc31648"/>
      <w:bookmarkStart w:id="30" w:name="_Toc174387404"/>
      <w:bookmarkStart w:id="31" w:name="_Toc175123807"/>
      <w:r>
        <w:rPr>
          <w:b/>
          <w:bCs w:val="0"/>
        </w:rPr>
        <w:t>（三）</w:t>
      </w:r>
      <w:r>
        <w:rPr>
          <w:rFonts w:hint="eastAsia"/>
          <w:b/>
          <w:bCs w:val="0"/>
        </w:rPr>
        <w:t>产出指标情况</w:t>
      </w:r>
      <w:bookmarkEnd w:id="29"/>
      <w:bookmarkEnd w:id="30"/>
      <w:bookmarkEnd w:id="31"/>
    </w:p>
    <w:bookmarkEnd w:id="23"/>
    <w:bookmarkEnd w:id="24"/>
    <w:bookmarkEnd w:id="25"/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32" w:name="_Toc69190971"/>
      <w:bookmarkStart w:id="33" w:name="_Toc69190537"/>
      <w:bookmarkStart w:id="34" w:name="_Toc50226853"/>
      <w:bookmarkStart w:id="35" w:name="_Toc31462"/>
      <w:bookmarkStart w:id="36" w:name="_Toc68069425"/>
      <w:bookmarkStart w:id="37" w:name="_Toc69190552"/>
      <w:r>
        <w:rPr>
          <w:rFonts w:hint="eastAsia" w:ascii="仿宋" w:hAnsi="仿宋" w:eastAsia="仿宋" w:cs="仿宋"/>
          <w:sz w:val="32"/>
          <w:szCs w:val="32"/>
        </w:rPr>
        <w:t>产出指标得分情况</w:t>
      </w:r>
      <w:bookmarkEnd w:id="32"/>
      <w:bookmarkEnd w:id="33"/>
      <w:r>
        <w:rPr>
          <w:rFonts w:hint="eastAsia" w:ascii="仿宋" w:hAnsi="仿宋" w:eastAsia="仿宋" w:cs="仿宋"/>
          <w:sz w:val="32"/>
          <w:szCs w:val="32"/>
        </w:rPr>
        <w:t>：项目产出指标分值35分，评价得分为35分。</w:t>
      </w:r>
    </w:p>
    <w:p>
      <w:pPr>
        <w:pStyle w:val="4"/>
        <w:adjustRightInd/>
        <w:snapToGrid/>
        <w:ind w:firstLine="643"/>
        <w:rPr>
          <w:b/>
          <w:bCs w:val="0"/>
        </w:rPr>
      </w:pPr>
      <w:bookmarkStart w:id="38" w:name="_Toc175123808"/>
      <w:bookmarkStart w:id="39" w:name="_Toc31215"/>
      <w:bookmarkStart w:id="40" w:name="_Toc174387405"/>
      <w:r>
        <w:rPr>
          <w:b/>
          <w:bCs w:val="0"/>
        </w:rPr>
        <w:t>（四）</w:t>
      </w:r>
      <w:r>
        <w:rPr>
          <w:rFonts w:hint="eastAsia"/>
          <w:b/>
          <w:bCs w:val="0"/>
        </w:rPr>
        <w:t>效果指标情况</w:t>
      </w:r>
      <w:bookmarkEnd w:id="38"/>
      <w:bookmarkEnd w:id="39"/>
      <w:bookmarkEnd w:id="4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效果指标得分情况：项目效果指标分值30分，评价得分24.75分，产出指标扣分原因：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（1）企业主营业务收入增长率,涉及本指标的项目有</w:t>
      </w:r>
      <w:r>
        <w:rPr>
          <w:rFonts w:ascii="仿宋" w:hAnsi="仿宋" w:eastAsia="仿宋" w:cs="仿宋"/>
          <w:sz w:val="32"/>
          <w:szCs w:val="32"/>
        </w:rPr>
        <w:t>4个，其中2个项目实施企业经营状况良好，近两年主营业务呈正增长； 2 个项目实施企业近两年主营业务呈负增长</w:t>
      </w:r>
      <w:r>
        <w:rPr>
          <w:rFonts w:hint="eastAsia" w:ascii="仿宋" w:hAnsi="仿宋" w:eastAsia="仿宋" w:cs="仿宋"/>
          <w:sz w:val="32"/>
          <w:szCs w:val="32"/>
        </w:rPr>
        <w:t>,扣2分。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（2）净利润增长率,涉及本指标的项目有</w:t>
      </w:r>
      <w:r>
        <w:rPr>
          <w:rFonts w:ascii="仿宋" w:hAnsi="仿宋" w:eastAsia="仿宋" w:cs="仿宋"/>
          <w:sz w:val="32"/>
          <w:szCs w:val="32"/>
        </w:rPr>
        <w:t>4个，其中2个项目实施企业经营状况良好，近两年净利润呈正增长； 2个项目实施企业近两年净利润呈负增长</w:t>
      </w:r>
      <w:r>
        <w:rPr>
          <w:rFonts w:hint="eastAsia" w:ascii="仿宋" w:hAnsi="仿宋" w:eastAsia="仿宋" w:cs="仿宋"/>
          <w:sz w:val="32"/>
          <w:szCs w:val="32"/>
        </w:rPr>
        <w:t>,扣2分。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（3）企业提质增效，本次现场评价的项目中，涉及本指标的项目有</w:t>
      </w:r>
      <w:r>
        <w:rPr>
          <w:rFonts w:ascii="仿宋" w:hAnsi="仿宋" w:eastAsia="仿宋" w:cs="仿宋"/>
          <w:sz w:val="32"/>
          <w:szCs w:val="32"/>
        </w:rPr>
        <w:t>4个项目，其中2个项目对项目实施单位提质增效效果显著或较显著；1个项目对项目实施单位提质增效效果一般；1个项目对项目实施单位提质增效效果不显著，</w:t>
      </w:r>
      <w:r>
        <w:rPr>
          <w:rFonts w:hint="eastAsia" w:ascii="仿宋" w:hAnsi="仿宋" w:eastAsia="仿宋" w:cs="仿宋"/>
          <w:sz w:val="32"/>
          <w:szCs w:val="32"/>
        </w:rPr>
        <w:t>扣1.25分。</w:t>
      </w:r>
    </w:p>
    <w:p>
      <w:pPr>
        <w:pStyle w:val="4"/>
        <w:adjustRightInd/>
        <w:snapToGrid/>
        <w:ind w:firstLine="643"/>
        <w:rPr>
          <w:b/>
          <w:bCs w:val="0"/>
        </w:rPr>
      </w:pPr>
      <w:bookmarkStart w:id="41" w:name="_Toc29564"/>
      <w:bookmarkStart w:id="42" w:name="_Toc174387406"/>
      <w:bookmarkStart w:id="43" w:name="_Toc175123809"/>
      <w:r>
        <w:rPr>
          <w:rFonts w:hint="eastAsia"/>
          <w:b/>
          <w:bCs w:val="0"/>
        </w:rPr>
        <w:t>三、项目存在的问题</w:t>
      </w:r>
      <w:bookmarkEnd w:id="41"/>
      <w:r>
        <w:rPr>
          <w:rFonts w:hint="eastAsia"/>
          <w:b/>
          <w:bCs w:val="0"/>
        </w:rPr>
        <w:t>及原因</w:t>
      </w:r>
      <w:bookmarkEnd w:id="42"/>
      <w:bookmarkEnd w:id="43"/>
    </w:p>
    <w:p>
      <w:pPr>
        <w:pStyle w:val="4"/>
        <w:adjustRightInd/>
        <w:snapToGrid/>
        <w:ind w:firstLine="643"/>
        <w:rPr>
          <w:b/>
          <w:bCs w:val="0"/>
        </w:rPr>
      </w:pPr>
      <w:bookmarkStart w:id="44" w:name="_Toc68069419"/>
      <w:bookmarkStart w:id="45" w:name="_Toc9346"/>
      <w:bookmarkStart w:id="46" w:name="_Toc174387407"/>
      <w:bookmarkStart w:id="47" w:name="_Toc69190544"/>
      <w:bookmarkStart w:id="48" w:name="_Toc175123810"/>
      <w:r>
        <w:rPr>
          <w:rFonts w:hint="eastAsia"/>
          <w:b/>
          <w:bCs w:val="0"/>
        </w:rPr>
        <w:t>（一）</w:t>
      </w:r>
      <w:bookmarkEnd w:id="44"/>
      <w:bookmarkEnd w:id="45"/>
      <w:bookmarkEnd w:id="46"/>
      <w:bookmarkEnd w:id="47"/>
      <w:r>
        <w:rPr>
          <w:rFonts w:hint="eastAsia"/>
          <w:b/>
          <w:bCs w:val="0"/>
        </w:rPr>
        <w:t>项目管理方面</w:t>
      </w:r>
      <w:bookmarkEnd w:id="48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档案资料完备性不足。各企业严格按照相关文件中的申报程序要求，填报申请表，制定项目申报书，上报项目相关基础材料，经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咸安区科经局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咸宁市经信局验收后上报到</w:t>
      </w:r>
      <w:r>
        <w:rPr>
          <w:rFonts w:hint="eastAsia" w:ascii="仿宋" w:hAnsi="仿宋" w:eastAsia="仿宋" w:cs="仿宋"/>
          <w:sz w:val="32"/>
          <w:szCs w:val="32"/>
        </w:rPr>
        <w:t>省经信厅，省经信厅组织专家评审和集体决策，并对通过评审的各项目进行批复。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涉及本指标的共计</w:t>
      </w:r>
      <w:r>
        <w:rPr>
          <w:rFonts w:ascii="仿宋" w:hAnsi="仿宋" w:eastAsia="仿宋" w:cs="仿宋"/>
          <w:sz w:val="32"/>
          <w:szCs w:val="32"/>
        </w:rPr>
        <w:t>4个项目，其中有3个项目的验收表未及时归档保管。主要原因是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咸安区科经局提交咸宁市经信局验收盖章后，未及时取回验收表进行归档。</w:t>
      </w:r>
    </w:p>
    <w:p>
      <w:pPr>
        <w:pStyle w:val="4"/>
        <w:adjustRightInd/>
        <w:snapToGrid/>
        <w:ind w:firstLine="643"/>
        <w:rPr>
          <w:b/>
          <w:bCs w:val="0"/>
        </w:rPr>
      </w:pPr>
      <w:bookmarkStart w:id="49" w:name="_Toc2378"/>
      <w:bookmarkStart w:id="50" w:name="_Toc174387408"/>
      <w:bookmarkStart w:id="51" w:name="_Toc69190545"/>
      <w:bookmarkStart w:id="52" w:name="_Toc68069420"/>
      <w:bookmarkStart w:id="53" w:name="_Toc175123811"/>
      <w:r>
        <w:rPr>
          <w:rFonts w:hint="eastAsia"/>
          <w:b/>
          <w:bCs w:val="0"/>
        </w:rPr>
        <w:t>（二）</w:t>
      </w:r>
      <w:bookmarkEnd w:id="49"/>
      <w:bookmarkEnd w:id="50"/>
      <w:bookmarkEnd w:id="51"/>
      <w:bookmarkEnd w:id="52"/>
      <w:r>
        <w:rPr>
          <w:rFonts w:hint="eastAsia"/>
          <w:b/>
          <w:bCs w:val="0"/>
        </w:rPr>
        <w:t>项目效益方面</w:t>
      </w:r>
      <w:bookmarkEnd w:id="53"/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  <w:u w:color="000000"/>
        </w:rPr>
      </w:pPr>
      <w:r>
        <w:rPr>
          <w:rFonts w:ascii="仿宋" w:hAnsi="仿宋" w:eastAsia="仿宋" w:cs="Times New Roman"/>
          <w:kern w:val="2"/>
          <w:sz w:val="32"/>
          <w:szCs w:val="32"/>
          <w:u w:color="000000"/>
        </w:rPr>
        <w:t>本次现场评价的项目中，部分企业的经济效益增长、提质增效指标均不理想，企业没有充分的佐证资料来证明技术改造后提质增效结果，技术改造后项目提质增效不明显。主要原因是部分企业所处行业受宏观环境影响，例如无纺布行业（口罩、防护服）在</w:t>
      </w:r>
      <w:r>
        <w:rPr>
          <w:rFonts w:hint="eastAsia" w:ascii="仿宋" w:hAnsi="仿宋" w:eastAsia="仿宋" w:cs="Times New Roman"/>
          <w:kern w:val="2"/>
          <w:sz w:val="32"/>
          <w:szCs w:val="32"/>
          <w:u w:color="000000"/>
        </w:rPr>
        <w:t>2023年整体需求减少，行业内企业均受到影响，订单减少。</w:t>
      </w:r>
    </w:p>
    <w:p>
      <w:pPr>
        <w:pStyle w:val="4"/>
        <w:adjustRightInd/>
        <w:snapToGrid/>
        <w:ind w:firstLine="643"/>
        <w:rPr>
          <w:b/>
          <w:bCs w:val="0"/>
        </w:rPr>
      </w:pPr>
      <w:bookmarkStart w:id="54" w:name="_Toc4776"/>
      <w:bookmarkStart w:id="55" w:name="_Toc68069421"/>
      <w:bookmarkStart w:id="56" w:name="_Toc69190548"/>
      <w:bookmarkStart w:id="57" w:name="_Toc175123812"/>
      <w:bookmarkStart w:id="58" w:name="_Toc174387409"/>
      <w:r>
        <w:rPr>
          <w:rFonts w:hint="eastAsia"/>
          <w:b/>
          <w:bCs w:val="0"/>
        </w:rPr>
        <w:t>四、绩效评价结果应用</w:t>
      </w:r>
      <w:bookmarkEnd w:id="54"/>
      <w:bookmarkEnd w:id="55"/>
      <w:bookmarkEnd w:id="56"/>
      <w:r>
        <w:rPr>
          <w:rFonts w:hint="eastAsia"/>
          <w:b/>
          <w:bCs w:val="0"/>
        </w:rPr>
        <w:t>建议</w:t>
      </w:r>
      <w:bookmarkEnd w:id="57"/>
      <w:bookmarkEnd w:id="58"/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  <w:u w:color="000000"/>
        </w:rPr>
      </w:pPr>
      <w:r>
        <w:rPr>
          <w:rFonts w:ascii="仿宋" w:hAnsi="仿宋" w:eastAsia="仿宋" w:cs="Times New Roman"/>
          <w:kern w:val="2"/>
          <w:sz w:val="32"/>
          <w:szCs w:val="32"/>
          <w:u w:color="000000"/>
        </w:rPr>
        <w:t>建议强化项目过程监管力度，增强项目整体效益；建议加强项目管理，及时整理完整归档项目资料；建议相关企业在后续经营建设过程积极推进项目建设、加快项目投产，增强项目长期效益。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bookmarkEnd w:id="34"/>
    <w:bookmarkEnd w:id="35"/>
    <w:bookmarkEnd w:id="36"/>
    <w:bookmarkEnd w:id="37"/>
    <w:p>
      <w:pPr>
        <w:spacing w:line="560" w:lineRule="exact"/>
        <w:ind w:firstLine="2520" w:firstLineChars="1050"/>
        <w:jc w:val="center"/>
      </w:pPr>
      <w:bookmarkStart w:id="59" w:name="_GoBack"/>
      <w:bookmarkEnd w:id="59"/>
    </w:p>
    <w:sectPr>
      <w:headerReference r:id="rId3" w:type="default"/>
      <w:footerReference r:id="rId4" w:type="default"/>
      <w:pgSz w:w="11906" w:h="16838"/>
      <w:pgMar w:top="2098" w:right="1474" w:bottom="1984" w:left="1587" w:header="1417" w:footer="102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S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240" w:lineRule="auto"/>
      <w:ind w:firstLine="0" w:firstLineChars="0"/>
      <w:rPr>
        <w:rFonts w:hint="default" w:ascii="仿宋" w:hAnsi="仿宋" w:eastAsia="仿宋" w:cs="仿宋"/>
        <w:lang w:val="en-US" w:eastAsia="zh-CN"/>
      </w:rPr>
    </w:pPr>
    <w:r>
      <w:pict>
        <v:line id="_x0000_s1026" o:spid="_x0000_s1026" o:spt="20" style="position:absolute;left:0pt;flip:y;margin-left:0.25pt;margin-top:-2.1pt;height:0.65pt;width:442.3pt;z-index:251660288;mso-width-relative:page;mso-height-relative:page;" filled="f" stroked="t" coordsize="21600,21600">
          <v:path arrowok="t"/>
          <v:fill on="f" focussize="0,0"/>
          <v:stroke color="#000000" joinstyle="miter"/>
          <v:imagedata o:title=""/>
          <o:lock v:ext="edit" aspectratio="f"/>
        </v:line>
      </w:pict>
    </w: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ind w:firstLine="56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仿宋" w:hAnsi="仿宋" w:cs="仿宋"/>
      </w:rPr>
      <w:t>湖北智圆会计师事务所</w:t>
    </w:r>
    <w:r>
      <w:rPr>
        <w:rFonts w:hint="eastAsia" w:ascii="仿宋" w:hAnsi="仿宋" w:cs="仿宋"/>
        <w:lang w:val="en-US" w:eastAsia="zh-CN"/>
      </w:rPr>
      <w:t>（</w:t>
    </w:r>
    <w:r>
      <w:rPr>
        <w:rFonts w:hint="eastAsia" w:ascii="仿宋" w:hAnsi="仿宋" w:cs="仿宋"/>
      </w:rPr>
      <w:t>普通合伙</w:t>
    </w:r>
    <w:r>
      <w:rPr>
        <w:rFonts w:hint="eastAsia" w:ascii="仿宋" w:hAnsi="仿宋" w:cs="仿宋"/>
        <w:lang w:val="en-US" w:eastAsia="zh-CN"/>
      </w:rPr>
      <w:t xml:space="preserve">）                   </w:t>
    </w:r>
  </w:p>
  <w:p>
    <w:pPr>
      <w:pStyle w:val="9"/>
      <w:spacing w:line="240" w:lineRule="auto"/>
      <w:ind w:firstLine="0" w:firstLineChars="0"/>
      <w:rPr>
        <w:rFonts w:hint="eastAsia" w:ascii="仿宋" w:hAnsi="仿宋" w:cs="仿宋"/>
      </w:rPr>
    </w:pPr>
    <w:r>
      <w:rPr>
        <w:rFonts w:hint="eastAsia" w:ascii="仿宋" w:hAnsi="仿宋" w:cs="仿宋"/>
      </w:rPr>
      <w:t>武汉市武昌区汉街总部国际E座1305</w:t>
    </w:r>
  </w:p>
  <w:p>
    <w:pPr>
      <w:pStyle w:val="9"/>
      <w:spacing w:line="240" w:lineRule="auto"/>
      <w:ind w:firstLine="0" w:firstLineChars="0"/>
      <w:rPr>
        <w:rFonts w:hint="default" w:ascii="仿宋" w:hAnsi="仿宋" w:eastAsia="仿宋" w:cs="仿宋"/>
        <w:lang w:val="en-US" w:eastAsia="zh-CN"/>
      </w:rPr>
    </w:pPr>
    <w:r>
      <w:rPr>
        <w:rFonts w:hint="eastAsia" w:ascii="仿宋" w:hAnsi="仿宋" w:cs="仿宋"/>
        <w:lang w:val="en-US" w:eastAsia="zh-CN"/>
      </w:rPr>
      <w:t>主评人1：王荣兰</w:t>
    </w:r>
    <w:r>
      <w:rPr>
        <w:rFonts w:hint="eastAsia" w:ascii="仿宋" w:hAnsi="仿宋" w:eastAsia="仿宋" w:cs="仿宋"/>
      </w:rPr>
      <w:t>15802728258</w:t>
    </w:r>
  </w:p>
  <w:p>
    <w:pPr>
      <w:pStyle w:val="9"/>
      <w:spacing w:line="240" w:lineRule="auto"/>
      <w:ind w:firstLine="0" w:firstLineChars="0"/>
      <w:rPr>
        <w:rFonts w:hint="default" w:ascii="仿宋" w:hAnsi="仿宋" w:eastAsia="仿宋" w:cs="仿宋"/>
        <w:lang w:val="en-US" w:eastAsia="zh-CN"/>
      </w:rPr>
    </w:pPr>
    <w:r>
      <w:rPr>
        <w:rFonts w:hint="eastAsia" w:ascii="仿宋" w:hAnsi="仿宋" w:cs="仿宋"/>
        <w:lang w:val="en-US" w:eastAsia="zh-CN"/>
      </w:rPr>
      <w:t>主评人2：肖  琴13907220609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ind w:left="0" w:leftChars="0" w:firstLine="0" w:firstLineChars="0"/>
      <w:jc w:val="both"/>
      <w:rPr>
        <w:rFonts w:hint="eastAsia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2023年省级制造业高质量发展专项资金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jNjUwNzJjNDIwZTY5MGQwMWMxNzMyNDg2ZmY0M2IifQ=="/>
  </w:docVars>
  <w:rsids>
    <w:rsidRoot w:val="00172A27"/>
    <w:rsid w:val="000B4C39"/>
    <w:rsid w:val="001031B3"/>
    <w:rsid w:val="00154B0D"/>
    <w:rsid w:val="00172A27"/>
    <w:rsid w:val="00182E8B"/>
    <w:rsid w:val="001F0C60"/>
    <w:rsid w:val="0026613D"/>
    <w:rsid w:val="002D3ED7"/>
    <w:rsid w:val="00367D5F"/>
    <w:rsid w:val="004732B1"/>
    <w:rsid w:val="004C7D26"/>
    <w:rsid w:val="004D014A"/>
    <w:rsid w:val="004E7677"/>
    <w:rsid w:val="00543809"/>
    <w:rsid w:val="006027F9"/>
    <w:rsid w:val="00614971"/>
    <w:rsid w:val="00731FE0"/>
    <w:rsid w:val="00782352"/>
    <w:rsid w:val="0081175F"/>
    <w:rsid w:val="00826858"/>
    <w:rsid w:val="00832915"/>
    <w:rsid w:val="008356E3"/>
    <w:rsid w:val="00967A02"/>
    <w:rsid w:val="009B5E60"/>
    <w:rsid w:val="009D0278"/>
    <w:rsid w:val="009D4741"/>
    <w:rsid w:val="009E10D2"/>
    <w:rsid w:val="009F5204"/>
    <w:rsid w:val="009F5BDB"/>
    <w:rsid w:val="00A42446"/>
    <w:rsid w:val="00AB71A3"/>
    <w:rsid w:val="00AC5C15"/>
    <w:rsid w:val="00B0625E"/>
    <w:rsid w:val="00B17AC7"/>
    <w:rsid w:val="00B20F6C"/>
    <w:rsid w:val="00B602B3"/>
    <w:rsid w:val="00B8641A"/>
    <w:rsid w:val="00BD2210"/>
    <w:rsid w:val="00C2138D"/>
    <w:rsid w:val="00CA63FF"/>
    <w:rsid w:val="00D145E1"/>
    <w:rsid w:val="00E32642"/>
    <w:rsid w:val="00E44A4F"/>
    <w:rsid w:val="00E62F86"/>
    <w:rsid w:val="00E77C25"/>
    <w:rsid w:val="00EC173F"/>
    <w:rsid w:val="00EC71E3"/>
    <w:rsid w:val="00ED777E"/>
    <w:rsid w:val="00F738C4"/>
    <w:rsid w:val="00F80DF3"/>
    <w:rsid w:val="00FE559F"/>
    <w:rsid w:val="06183F84"/>
    <w:rsid w:val="08310288"/>
    <w:rsid w:val="1104546B"/>
    <w:rsid w:val="1F5A3371"/>
    <w:rsid w:val="27432B72"/>
    <w:rsid w:val="28FE60D3"/>
    <w:rsid w:val="3D6006AC"/>
    <w:rsid w:val="3E774535"/>
    <w:rsid w:val="4AF7270C"/>
    <w:rsid w:val="52CE34A4"/>
    <w:rsid w:val="699E2DBA"/>
    <w:rsid w:val="745F0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widowControl w:val="0"/>
      <w:adjustRightInd w:val="0"/>
      <w:snapToGrid w:val="0"/>
      <w:spacing w:line="560" w:lineRule="exact"/>
      <w:ind w:firstLine="200" w:firstLineChars="200"/>
      <w:jc w:val="both"/>
      <w:outlineLvl w:val="0"/>
    </w:pPr>
    <w:rPr>
      <w:rFonts w:ascii="黑体" w:hAnsi="黑体" w:eastAsia="黑体" w:cstheme="minorBidi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adjustRightInd w:val="0"/>
      <w:snapToGrid w:val="0"/>
      <w:spacing w:line="560" w:lineRule="exact"/>
      <w:ind w:firstLine="640" w:firstLineChars="200"/>
      <w:jc w:val="both"/>
      <w:outlineLvl w:val="1"/>
    </w:pPr>
    <w:rPr>
      <w:rFonts w:ascii="楷体" w:hAnsi="楷体" w:eastAsia="楷体" w:cstheme="majorBidi"/>
      <w:bCs/>
      <w:kern w:val="2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widowControl w:val="0"/>
      <w:adjustRightInd w:val="0"/>
      <w:snapToGrid w:val="0"/>
      <w:spacing w:line="560" w:lineRule="exact"/>
      <w:ind w:firstLine="640" w:firstLineChars="200"/>
      <w:jc w:val="both"/>
      <w:outlineLvl w:val="2"/>
    </w:pPr>
    <w:rPr>
      <w:rFonts w:ascii="楷体" w:hAnsi="楷体" w:eastAsia="楷体" w:cstheme="minorBidi"/>
      <w:bCs/>
      <w:kern w:val="2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可表头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b/>
      <w:bCs/>
      <w:lang w:val="zh-CN"/>
    </w:rPr>
  </w:style>
  <w:style w:type="paragraph" w:styleId="6">
    <w:name w:val="Body Text Indent"/>
    <w:basedOn w:val="1"/>
    <w:semiHidden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640" w:firstLineChars="200"/>
      <w:jc w:val="both"/>
    </w:pPr>
    <w:rPr>
      <w:rFonts w:eastAsia="仿宋" w:cstheme="minorBidi"/>
      <w:kern w:val="2"/>
      <w:sz w:val="32"/>
    </w:rPr>
  </w:style>
  <w:style w:type="paragraph" w:styleId="7">
    <w:name w:val="toc 3"/>
    <w:basedOn w:val="1"/>
    <w:next w:val="1"/>
    <w:unhideWhenUsed/>
    <w:qFormat/>
    <w:uiPriority w:val="39"/>
    <w:pPr>
      <w:widowControl w:val="0"/>
      <w:adjustRightInd w:val="0"/>
      <w:snapToGrid w:val="0"/>
      <w:spacing w:line="560" w:lineRule="exact"/>
      <w:ind w:left="840" w:leftChars="400" w:firstLine="640" w:firstLineChars="200"/>
      <w:jc w:val="both"/>
    </w:pPr>
    <w:rPr>
      <w:rFonts w:eastAsia="仿宋" w:cstheme="minorBidi"/>
      <w:kern w:val="2"/>
      <w:sz w:val="32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djustRightInd w:val="0"/>
      <w:snapToGrid w:val="0"/>
      <w:spacing w:line="560" w:lineRule="exact"/>
      <w:ind w:firstLine="640" w:firstLineChars="200"/>
    </w:pPr>
    <w:rPr>
      <w:rFonts w:eastAsia="仿宋" w:cstheme="minorBidi"/>
      <w:kern w:val="2"/>
      <w:sz w:val="18"/>
    </w:rPr>
  </w:style>
  <w:style w:type="paragraph" w:styleId="10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560" w:lineRule="exact"/>
      <w:ind w:firstLine="640" w:firstLineChars="200"/>
      <w:jc w:val="center"/>
    </w:pPr>
    <w:rPr>
      <w:rFonts w:eastAsia="仿宋" w:cstheme="minorBidi"/>
      <w:kern w:val="2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 w:val="0"/>
      <w:tabs>
        <w:tab w:val="right" w:leader="dot" w:pos="8834"/>
      </w:tabs>
      <w:adjustRightInd w:val="0"/>
      <w:snapToGrid w:val="0"/>
      <w:spacing w:line="560" w:lineRule="exact"/>
      <w:ind w:firstLine="843" w:firstLineChars="200"/>
      <w:jc w:val="both"/>
    </w:pPr>
    <w:rPr>
      <w:rFonts w:eastAsia="仿宋" w:cstheme="minorBidi"/>
      <w:b/>
      <w:kern w:val="2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widowControl w:val="0"/>
      <w:adjustRightInd w:val="0"/>
      <w:snapToGrid w:val="0"/>
      <w:spacing w:line="560" w:lineRule="exact"/>
      <w:ind w:left="420" w:leftChars="200" w:firstLine="640" w:firstLineChars="200"/>
      <w:jc w:val="both"/>
    </w:pPr>
    <w:rPr>
      <w:rFonts w:eastAsia="仿宋" w:cstheme="minorBidi"/>
      <w:kern w:val="2"/>
      <w:sz w:val="32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Body Text First Indent 2"/>
    <w:basedOn w:val="6"/>
    <w:unhideWhenUsed/>
    <w:qFormat/>
    <w:uiPriority w:val="99"/>
    <w:pPr>
      <w:ind w:firstLine="420"/>
    </w:pPr>
  </w:style>
  <w:style w:type="character" w:styleId="17">
    <w:name w:val="Hyperlink"/>
    <w:basedOn w:val="16"/>
    <w:unhideWhenUsed/>
    <w:qFormat/>
    <w:uiPriority w:val="99"/>
    <w:rPr>
      <w:color w:val="0026E5" w:themeColor="hyperlink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eastAsia="宋体" w:cs="FZXiaoBiaoSong-B05S"/>
      <w:color w:val="000000"/>
      <w:sz w:val="24"/>
      <w:szCs w:val="24"/>
      <w:lang w:val="en-US" w:eastAsia="zh-CN" w:bidi="ar-SA"/>
    </w:rPr>
  </w:style>
  <w:style w:type="paragraph" w:customStyle="1" w:styleId="1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2">
    <w:name w:val="批注框文本 Char"/>
    <w:basedOn w:val="16"/>
    <w:link w:val="8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17323</Words>
  <Characters>17948</Characters>
  <Lines>151</Lines>
  <Paragraphs>42</Paragraphs>
  <TotalTime>1</TotalTime>
  <ScaleCrop>false</ScaleCrop>
  <LinksUpToDate>false</LinksUpToDate>
  <CharactersWithSpaces>18337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2024-08-20T17:27:00Z</dcterms:created>
  <dc:creator>轻描淡写</dc:creator>
  <cp:lastModifiedBy>guest</cp:lastModifiedBy>
  <cp:lastPrinted>2024-08-23T11:39:00Z</cp:lastPrinted>
  <dcterms:modified xsi:type="dcterms:W3CDTF">2024-12-12T15:54:29Z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28E33663C06C4DF8A19F4E12C4E8B511_11</vt:lpwstr>
  </property>
</Properties>
</file>